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F4" w:rsidRPr="003B3DF4" w:rsidRDefault="003B3DF4" w:rsidP="003B3DF4">
      <w:pPr>
        <w:widowControl/>
        <w:jc w:val="left"/>
        <w:rPr>
          <w:rFonts w:ascii="宋体" w:hAnsi="宋体" w:cs="宋体"/>
          <w:b/>
          <w:bCs/>
          <w:kern w:val="0"/>
          <w:sz w:val="32"/>
          <w:szCs w:val="32"/>
        </w:rPr>
      </w:pPr>
      <w:r w:rsidRPr="003B3DF4">
        <w:rPr>
          <w:rFonts w:ascii="宋体" w:hAnsi="宋体" w:cs="宋体" w:hint="eastAsia"/>
          <w:b/>
          <w:bCs/>
          <w:kern w:val="0"/>
          <w:sz w:val="32"/>
          <w:szCs w:val="32"/>
        </w:rPr>
        <w:t>附件2：</w:t>
      </w:r>
      <w:hyperlink r:id="rId7" w:tooltip="关于几种工业用连接器产品是否属于强制性产品认证目录范围的技术决议" w:history="1">
        <w:r w:rsidRPr="003B3DF4">
          <w:rPr>
            <w:rFonts w:ascii="宋体" w:hAnsi="宋体" w:cs="宋体" w:hint="eastAsia"/>
            <w:b/>
            <w:bCs/>
            <w:kern w:val="0"/>
            <w:sz w:val="32"/>
            <w:szCs w:val="32"/>
          </w:rPr>
          <w:t>关于几种工业用连接器产品是否属于强制性</w:t>
        </w:r>
      </w:hyperlink>
      <w:r w:rsidRPr="003B3DF4">
        <w:rPr>
          <w:rFonts w:ascii="宋体" w:hAnsi="宋体" w:cs="宋体" w:hint="eastAsia"/>
          <w:b/>
          <w:bCs/>
          <w:kern w:val="0"/>
          <w:sz w:val="32"/>
          <w:szCs w:val="32"/>
        </w:rPr>
        <w:t>产品认证目录范围的技术决议</w:t>
      </w:r>
    </w:p>
    <w:p w:rsidR="003B3DF4" w:rsidRPr="003B3DF4" w:rsidRDefault="003B3DF4" w:rsidP="003B3DF4">
      <w:pPr>
        <w:widowControl/>
        <w:ind w:firstLine="560"/>
        <w:rPr>
          <w:rFonts w:cs="宋体"/>
          <w:kern w:val="0"/>
          <w:sz w:val="28"/>
          <w:szCs w:val="28"/>
        </w:rPr>
      </w:pPr>
      <w:r w:rsidRPr="003B3DF4">
        <w:rPr>
          <w:rFonts w:ascii="宋体" w:hAnsi="宋体" w:cs="宋体" w:hint="eastAsia"/>
          <w:kern w:val="0"/>
          <w:sz w:val="28"/>
          <w:szCs w:val="28"/>
        </w:rPr>
        <w:t>近期，</w:t>
      </w:r>
      <w:r w:rsidRPr="003B3DF4">
        <w:rPr>
          <w:rFonts w:cs="宋体" w:hint="eastAsia"/>
          <w:kern w:val="0"/>
          <w:sz w:val="28"/>
          <w:szCs w:val="28"/>
        </w:rPr>
        <w:t>TC07</w:t>
      </w:r>
      <w:r w:rsidRPr="003B3DF4">
        <w:rPr>
          <w:rFonts w:ascii="宋体" w:hAnsi="宋体" w:cs="宋体" w:hint="eastAsia"/>
          <w:kern w:val="0"/>
          <w:sz w:val="28"/>
          <w:szCs w:val="28"/>
        </w:rPr>
        <w:t>技术专家组发布了</w:t>
      </w:r>
      <w:r w:rsidRPr="003B3DF4">
        <w:rPr>
          <w:rFonts w:ascii="宋体" w:hAnsi="宋体" w:cs="宋体" w:hint="eastAsia"/>
          <w:b/>
          <w:color w:val="000000" w:themeColor="text1"/>
          <w:kern w:val="0"/>
          <w:sz w:val="28"/>
          <w:szCs w:val="28"/>
        </w:rPr>
        <w:t>“</w:t>
      </w:r>
      <w:hyperlink r:id="rId8" w:tooltip="关于几种工业用连接器产品是否属于强制性产品认证目录范围的技术决议" w:history="1">
        <w:r w:rsidRPr="003B3DF4">
          <w:rPr>
            <w:rFonts w:ascii="宋体" w:hAnsi="宋体" w:cs="宋体" w:hint="eastAsia"/>
            <w:b/>
            <w:color w:val="000000" w:themeColor="text1"/>
            <w:kern w:val="0"/>
            <w:sz w:val="28"/>
          </w:rPr>
          <w:t>关于几种工业用连接器产品是否属于强制性产品认证目录范围的技术决议</w:t>
        </w:r>
      </w:hyperlink>
      <w:r w:rsidRPr="003B3DF4">
        <w:rPr>
          <w:rFonts w:ascii="宋体" w:hAnsi="宋体" w:cs="宋体" w:hint="eastAsia"/>
          <w:kern w:val="0"/>
          <w:sz w:val="28"/>
          <w:szCs w:val="28"/>
        </w:rPr>
        <w:t>”的专家组决议(决议号：</w:t>
      </w:r>
      <w:r w:rsidRPr="003B3DF4">
        <w:rPr>
          <w:rFonts w:cs="宋体" w:hint="eastAsia"/>
          <w:kern w:val="0"/>
          <w:sz w:val="28"/>
          <w:szCs w:val="28"/>
        </w:rPr>
        <w:t>TC07-2014-04)</w:t>
      </w:r>
      <w:r w:rsidRPr="003B3DF4">
        <w:rPr>
          <w:rFonts w:ascii="宋体" w:hAnsi="宋体" w:cs="宋体" w:hint="eastAsia"/>
          <w:kern w:val="0"/>
          <w:sz w:val="28"/>
          <w:szCs w:val="28"/>
        </w:rPr>
        <w:t>，决议内容如下：</w:t>
      </w:r>
    </w:p>
    <w:p w:rsidR="003B3DF4" w:rsidRPr="003B3DF4" w:rsidRDefault="003B3DF4" w:rsidP="003B3DF4">
      <w:pPr>
        <w:widowControl/>
        <w:ind w:firstLine="560"/>
        <w:rPr>
          <w:rFonts w:cs="宋体"/>
          <w:kern w:val="0"/>
          <w:sz w:val="28"/>
          <w:szCs w:val="28"/>
        </w:rPr>
      </w:pPr>
      <w:r w:rsidRPr="003B3DF4">
        <w:rPr>
          <w:rFonts w:ascii="宋体" w:hAnsi="宋体" w:cs="宋体" w:hint="eastAsia"/>
          <w:kern w:val="0"/>
          <w:sz w:val="28"/>
          <w:szCs w:val="28"/>
        </w:rPr>
        <w:t>根据器具耦合器（工业用）、插头插座（工业用）产品强制性认证适用标准</w:t>
      </w:r>
      <w:r w:rsidRPr="003B3DF4">
        <w:rPr>
          <w:rFonts w:cs="宋体" w:hint="eastAsia"/>
          <w:kern w:val="0"/>
          <w:sz w:val="28"/>
          <w:szCs w:val="28"/>
        </w:rPr>
        <w:t>GB/T 11918.1-2014</w:t>
      </w:r>
      <w:r w:rsidRPr="003B3DF4">
        <w:rPr>
          <w:rFonts w:ascii="宋体" w:hAnsi="宋体" w:cs="宋体" w:hint="eastAsia"/>
          <w:kern w:val="0"/>
          <w:sz w:val="28"/>
          <w:szCs w:val="28"/>
        </w:rPr>
        <w:t>《工业用插头插座和耦合器 第</w:t>
      </w:r>
      <w:r w:rsidRPr="003B3DF4">
        <w:rPr>
          <w:rFonts w:cs="宋体" w:hint="eastAsia"/>
          <w:kern w:val="0"/>
          <w:sz w:val="28"/>
          <w:szCs w:val="28"/>
        </w:rPr>
        <w:t>1</w:t>
      </w:r>
      <w:r w:rsidRPr="003B3DF4">
        <w:rPr>
          <w:rFonts w:ascii="宋体" w:hAnsi="宋体" w:cs="宋体" w:hint="eastAsia"/>
          <w:kern w:val="0"/>
          <w:sz w:val="28"/>
          <w:szCs w:val="28"/>
        </w:rPr>
        <w:t>部分：通用要求》和</w:t>
      </w:r>
      <w:r w:rsidRPr="003B3DF4">
        <w:rPr>
          <w:rFonts w:cs="宋体" w:hint="eastAsia"/>
          <w:kern w:val="0"/>
          <w:sz w:val="28"/>
          <w:szCs w:val="28"/>
        </w:rPr>
        <w:t>GB/T 11918.2-2014</w:t>
      </w:r>
      <w:r w:rsidRPr="003B3DF4">
        <w:rPr>
          <w:rFonts w:ascii="宋体" w:hAnsi="宋体" w:cs="宋体" w:hint="eastAsia"/>
          <w:kern w:val="0"/>
          <w:sz w:val="28"/>
          <w:szCs w:val="28"/>
        </w:rPr>
        <w:t>《工业用插头插座和耦合器 第</w:t>
      </w:r>
      <w:r w:rsidRPr="003B3DF4">
        <w:rPr>
          <w:rFonts w:cs="宋体" w:hint="eastAsia"/>
          <w:kern w:val="0"/>
          <w:sz w:val="28"/>
          <w:szCs w:val="28"/>
        </w:rPr>
        <w:t>2</w:t>
      </w:r>
      <w:r w:rsidRPr="003B3DF4">
        <w:rPr>
          <w:rFonts w:ascii="宋体" w:hAnsi="宋体" w:cs="宋体" w:hint="eastAsia"/>
          <w:kern w:val="0"/>
          <w:sz w:val="28"/>
          <w:szCs w:val="28"/>
        </w:rPr>
        <w:t>部分：带插销和插套的电器附件的尺寸兼容性和互换性要求》，生产者依据非</w:t>
      </w:r>
      <w:r w:rsidRPr="003B3DF4">
        <w:rPr>
          <w:rFonts w:cs="宋体" w:hint="eastAsia"/>
          <w:kern w:val="0"/>
          <w:sz w:val="28"/>
          <w:szCs w:val="28"/>
        </w:rPr>
        <w:t>GB/T 11918.1-2014</w:t>
      </w:r>
      <w:r w:rsidRPr="003B3DF4">
        <w:rPr>
          <w:rFonts w:ascii="宋体" w:hAnsi="宋体" w:cs="宋体" w:hint="eastAsia"/>
          <w:kern w:val="0"/>
          <w:sz w:val="28"/>
          <w:szCs w:val="28"/>
        </w:rPr>
        <w:t>和</w:t>
      </w:r>
      <w:r w:rsidRPr="003B3DF4">
        <w:rPr>
          <w:rFonts w:cs="宋体" w:hint="eastAsia"/>
          <w:kern w:val="0"/>
          <w:sz w:val="28"/>
          <w:szCs w:val="28"/>
        </w:rPr>
        <w:t>GB/T 11918.2-2014</w:t>
      </w:r>
      <w:r w:rsidRPr="003B3DF4">
        <w:rPr>
          <w:rFonts w:ascii="宋体" w:hAnsi="宋体" w:cs="宋体" w:hint="eastAsia"/>
          <w:kern w:val="0"/>
          <w:sz w:val="28"/>
          <w:szCs w:val="28"/>
        </w:rPr>
        <w:t>标准设计、生产的工业用连接器产品（示例如图</w:t>
      </w:r>
      <w:r w:rsidRPr="003B3DF4">
        <w:rPr>
          <w:rFonts w:cs="宋体" w:hint="eastAsia"/>
          <w:kern w:val="0"/>
          <w:sz w:val="28"/>
          <w:szCs w:val="28"/>
        </w:rPr>
        <w:t>1</w:t>
      </w:r>
      <w:r w:rsidRPr="003B3DF4">
        <w:rPr>
          <w:rFonts w:ascii="宋体" w:hAnsi="宋体" w:cs="宋体" w:hint="eastAsia"/>
          <w:kern w:val="0"/>
          <w:sz w:val="28"/>
          <w:szCs w:val="28"/>
        </w:rPr>
        <w:t>、图</w:t>
      </w:r>
      <w:r w:rsidRPr="003B3DF4">
        <w:rPr>
          <w:rFonts w:cs="宋体" w:hint="eastAsia"/>
          <w:kern w:val="0"/>
          <w:sz w:val="28"/>
          <w:szCs w:val="28"/>
        </w:rPr>
        <w:t>2</w:t>
      </w:r>
      <w:r w:rsidRPr="003B3DF4">
        <w:rPr>
          <w:rFonts w:ascii="宋体" w:hAnsi="宋体" w:cs="宋体" w:hint="eastAsia"/>
          <w:kern w:val="0"/>
          <w:sz w:val="28"/>
          <w:szCs w:val="28"/>
        </w:rPr>
        <w:t>），应不属于强制性产品认证目录范围。</w:t>
      </w:r>
    </w:p>
    <w:p w:rsidR="003B3DF4" w:rsidRPr="003B3DF4" w:rsidRDefault="003B3DF4" w:rsidP="003B3DF4">
      <w:pPr>
        <w:widowControl/>
        <w:jc w:val="center"/>
        <w:rPr>
          <w:rFonts w:cs="宋体"/>
          <w:kern w:val="0"/>
        </w:rPr>
      </w:pPr>
      <w:r>
        <w:rPr>
          <w:rFonts w:cs="宋体"/>
          <w:noProof/>
          <w:kern w:val="0"/>
        </w:rPr>
        <w:drawing>
          <wp:inline distT="0" distB="0" distL="0" distR="0">
            <wp:extent cx="2592070" cy="1900555"/>
            <wp:effectExtent l="19050" t="0" r="0" b="0"/>
            <wp:docPr id="1" name="图片 1" descr="C:\Users\lenovo\AppData\Local\Temp\ksohtml\wps_clip_image-5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ksohtml\wps_clip_image-5529.png"/>
                    <pic:cNvPicPr>
                      <a:picLocks noChangeAspect="1" noChangeArrowheads="1"/>
                    </pic:cNvPicPr>
                  </pic:nvPicPr>
                  <pic:blipFill>
                    <a:blip r:embed="rId9"/>
                    <a:srcRect/>
                    <a:stretch>
                      <a:fillRect/>
                    </a:stretch>
                  </pic:blipFill>
                  <pic:spPr bwMode="auto">
                    <a:xfrm>
                      <a:off x="0" y="0"/>
                      <a:ext cx="2592070" cy="1900555"/>
                    </a:xfrm>
                    <a:prstGeom prst="rect">
                      <a:avLst/>
                    </a:prstGeom>
                    <a:noFill/>
                    <a:ln w="9525">
                      <a:noFill/>
                      <a:miter lim="800000"/>
                      <a:headEnd/>
                      <a:tailEnd/>
                    </a:ln>
                  </pic:spPr>
                </pic:pic>
              </a:graphicData>
            </a:graphic>
          </wp:inline>
        </w:drawing>
      </w:r>
    </w:p>
    <w:p w:rsidR="003B3DF4" w:rsidRPr="003B3DF4" w:rsidRDefault="003B3DF4" w:rsidP="003B3DF4">
      <w:pPr>
        <w:widowControl/>
        <w:ind w:firstLine="560"/>
        <w:jc w:val="center"/>
        <w:rPr>
          <w:rFonts w:cs="宋体"/>
          <w:kern w:val="0"/>
          <w:sz w:val="28"/>
          <w:szCs w:val="28"/>
        </w:rPr>
      </w:pPr>
      <w:r w:rsidRPr="003B3DF4">
        <w:rPr>
          <w:rFonts w:ascii="宋体" w:hAnsi="宋体" w:cs="宋体" w:hint="eastAsia"/>
          <w:kern w:val="0"/>
          <w:sz w:val="28"/>
          <w:szCs w:val="28"/>
        </w:rPr>
        <w:t xml:space="preserve">图 </w:t>
      </w:r>
      <w:r w:rsidRPr="003B3DF4">
        <w:rPr>
          <w:rFonts w:cs="宋体" w:hint="eastAsia"/>
          <w:kern w:val="0"/>
          <w:sz w:val="28"/>
          <w:szCs w:val="28"/>
        </w:rPr>
        <w:t>1</w:t>
      </w:r>
    </w:p>
    <w:p w:rsidR="003B3DF4" w:rsidRPr="003B3DF4" w:rsidRDefault="003B3DF4" w:rsidP="003B3DF4">
      <w:pPr>
        <w:widowControl/>
        <w:jc w:val="center"/>
        <w:rPr>
          <w:rFonts w:cs="宋体"/>
          <w:kern w:val="0"/>
        </w:rPr>
      </w:pPr>
      <w:r>
        <w:rPr>
          <w:rFonts w:cs="宋体"/>
          <w:noProof/>
          <w:kern w:val="0"/>
        </w:rPr>
        <w:drawing>
          <wp:inline distT="0" distB="0" distL="0" distR="0">
            <wp:extent cx="2584450" cy="1693545"/>
            <wp:effectExtent l="19050" t="0" r="6350" b="0"/>
            <wp:docPr id="2" name="图片 2" descr="C:\Users\lenovo\AppData\Local\Temp\ksohtml\wps_clip_image-11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ksohtml\wps_clip_image-11915.png"/>
                    <pic:cNvPicPr>
                      <a:picLocks noChangeAspect="1" noChangeArrowheads="1"/>
                    </pic:cNvPicPr>
                  </pic:nvPicPr>
                  <pic:blipFill>
                    <a:blip r:embed="rId10"/>
                    <a:srcRect/>
                    <a:stretch>
                      <a:fillRect/>
                    </a:stretch>
                  </pic:blipFill>
                  <pic:spPr bwMode="auto">
                    <a:xfrm>
                      <a:off x="0" y="0"/>
                      <a:ext cx="2584450" cy="1693545"/>
                    </a:xfrm>
                    <a:prstGeom prst="rect">
                      <a:avLst/>
                    </a:prstGeom>
                    <a:noFill/>
                    <a:ln w="9525">
                      <a:noFill/>
                      <a:miter lim="800000"/>
                      <a:headEnd/>
                      <a:tailEnd/>
                    </a:ln>
                  </pic:spPr>
                </pic:pic>
              </a:graphicData>
            </a:graphic>
          </wp:inline>
        </w:drawing>
      </w:r>
    </w:p>
    <w:p w:rsidR="003B3DF4" w:rsidRPr="003B3DF4" w:rsidRDefault="003B3DF4" w:rsidP="003B3DF4">
      <w:pPr>
        <w:widowControl/>
        <w:ind w:firstLine="560"/>
        <w:jc w:val="center"/>
        <w:rPr>
          <w:rFonts w:cs="宋体"/>
          <w:kern w:val="0"/>
          <w:sz w:val="28"/>
          <w:szCs w:val="28"/>
        </w:rPr>
      </w:pPr>
      <w:r w:rsidRPr="003B3DF4">
        <w:rPr>
          <w:rFonts w:ascii="宋体" w:hAnsi="宋体" w:cs="宋体" w:hint="eastAsia"/>
          <w:kern w:val="0"/>
          <w:sz w:val="28"/>
          <w:szCs w:val="28"/>
        </w:rPr>
        <w:t>图</w:t>
      </w:r>
      <w:r w:rsidRPr="003B3DF4">
        <w:rPr>
          <w:rFonts w:cs="宋体" w:hint="eastAsia"/>
          <w:kern w:val="0"/>
          <w:sz w:val="28"/>
          <w:szCs w:val="28"/>
        </w:rPr>
        <w:t>2</w:t>
      </w:r>
    </w:p>
    <w:p w:rsidR="003B3DF4" w:rsidRPr="003B3DF4" w:rsidRDefault="003B3DF4" w:rsidP="003B3DF4">
      <w:pPr>
        <w:widowControl/>
        <w:jc w:val="left"/>
        <w:rPr>
          <w:rFonts w:cs="宋体"/>
          <w:kern w:val="0"/>
          <w:sz w:val="28"/>
          <w:szCs w:val="28"/>
        </w:rPr>
      </w:pPr>
      <w:r w:rsidRPr="003B3DF4">
        <w:rPr>
          <w:rFonts w:ascii="宋体" w:hAnsi="宋体" w:cs="宋体" w:hint="eastAsia"/>
          <w:kern w:val="0"/>
          <w:sz w:val="28"/>
          <w:szCs w:val="28"/>
        </w:rPr>
        <w:lastRenderedPageBreak/>
        <w:t>决议链接：</w:t>
      </w:r>
      <w:r w:rsidRPr="003B3DF4">
        <w:rPr>
          <w:rFonts w:cs="宋体"/>
          <w:kern w:val="0"/>
          <w:sz w:val="28"/>
          <w:szCs w:val="28"/>
        </w:rPr>
        <w:t>http://www.cnca.gov.cn/ywzl/rz/qzxcpzl/jszjz/tc07/201412/P020141222335954390312.pdf</w:t>
      </w:r>
    </w:p>
    <w:p w:rsidR="003B3DF4" w:rsidRPr="003B3DF4" w:rsidRDefault="003B3DF4" w:rsidP="003B3DF4">
      <w:pPr>
        <w:widowControl/>
        <w:ind w:firstLine="700"/>
        <w:jc w:val="left"/>
        <w:rPr>
          <w:rFonts w:cs="宋体"/>
          <w:kern w:val="0"/>
          <w:sz w:val="28"/>
          <w:szCs w:val="28"/>
        </w:rPr>
      </w:pPr>
      <w:r w:rsidRPr="003B3DF4">
        <w:rPr>
          <w:rFonts w:ascii="宋体" w:hAnsi="宋体" w:cs="宋体" w:hint="eastAsia"/>
          <w:kern w:val="0"/>
          <w:sz w:val="28"/>
          <w:szCs w:val="28"/>
        </w:rPr>
        <w:t>如上述类型的产品已按</w:t>
      </w:r>
      <w:r w:rsidRPr="003B3DF4">
        <w:rPr>
          <w:rFonts w:cs="宋体" w:hint="eastAsia"/>
          <w:kern w:val="0"/>
          <w:sz w:val="28"/>
          <w:szCs w:val="28"/>
        </w:rPr>
        <w:t>GB/T 11918-2001</w:t>
      </w:r>
      <w:r w:rsidRPr="003B3DF4">
        <w:rPr>
          <w:rFonts w:ascii="宋体" w:hAnsi="宋体" w:cs="宋体" w:hint="eastAsia"/>
          <w:kern w:val="0"/>
          <w:sz w:val="28"/>
          <w:szCs w:val="28"/>
        </w:rPr>
        <w:t>和</w:t>
      </w:r>
      <w:r w:rsidRPr="003B3DF4">
        <w:rPr>
          <w:rFonts w:cs="宋体" w:hint="eastAsia"/>
          <w:kern w:val="0"/>
          <w:sz w:val="28"/>
          <w:szCs w:val="28"/>
        </w:rPr>
        <w:t>GB/T 11919-2001</w:t>
      </w:r>
      <w:r w:rsidRPr="003B3DF4">
        <w:rPr>
          <w:rFonts w:ascii="宋体" w:hAnsi="宋体" w:cs="宋体" w:hint="eastAsia"/>
          <w:kern w:val="0"/>
          <w:sz w:val="28"/>
          <w:szCs w:val="28"/>
        </w:rPr>
        <w:t>获得</w:t>
      </w:r>
      <w:r w:rsidRPr="003B3DF4">
        <w:rPr>
          <w:rFonts w:cs="宋体" w:hint="eastAsia"/>
          <w:kern w:val="0"/>
          <w:sz w:val="28"/>
          <w:szCs w:val="28"/>
        </w:rPr>
        <w:t>CCC</w:t>
      </w:r>
      <w:r w:rsidRPr="003B3DF4">
        <w:rPr>
          <w:rFonts w:ascii="宋体" w:hAnsi="宋体" w:cs="宋体" w:hint="eastAsia"/>
          <w:kern w:val="0"/>
          <w:sz w:val="28"/>
          <w:szCs w:val="28"/>
        </w:rPr>
        <w:t>证书的，在进行标准换版时将不再颁发新版标准证书，此类产品可按</w:t>
      </w:r>
      <w:r w:rsidRPr="003B3DF4">
        <w:rPr>
          <w:rFonts w:cs="宋体"/>
          <w:kern w:val="0"/>
          <w:sz w:val="28"/>
          <w:szCs w:val="28"/>
        </w:rPr>
        <w:t>CQC11-462222-2011</w:t>
      </w:r>
      <w:r w:rsidRPr="003B3DF4">
        <w:rPr>
          <w:rFonts w:ascii="宋体" w:hAnsi="宋体" w:cs="宋体" w:hint="eastAsia"/>
          <w:kern w:val="0"/>
          <w:sz w:val="28"/>
          <w:szCs w:val="28"/>
        </w:rPr>
        <w:t>（等同采用</w:t>
      </w:r>
      <w:r w:rsidRPr="003B3DF4">
        <w:rPr>
          <w:rFonts w:cs="宋体" w:hint="eastAsia"/>
          <w:kern w:val="0"/>
          <w:sz w:val="28"/>
          <w:szCs w:val="28"/>
        </w:rPr>
        <w:t>IEC 61984</w:t>
      </w:r>
      <w:r w:rsidRPr="003B3DF4">
        <w:rPr>
          <w:rFonts w:ascii="宋体" w:hAnsi="宋体" w:cs="宋体" w:hint="eastAsia"/>
          <w:kern w:val="0"/>
          <w:sz w:val="28"/>
          <w:szCs w:val="28"/>
        </w:rPr>
        <w:t>：</w:t>
      </w:r>
      <w:r w:rsidRPr="003B3DF4">
        <w:rPr>
          <w:rFonts w:cs="宋体" w:hint="eastAsia"/>
          <w:kern w:val="0"/>
          <w:sz w:val="28"/>
          <w:szCs w:val="28"/>
        </w:rPr>
        <w:t>2008</w:t>
      </w:r>
      <w:r w:rsidRPr="003B3DF4">
        <w:rPr>
          <w:rFonts w:ascii="宋体" w:hAnsi="宋体" w:cs="宋体" w:hint="eastAsia"/>
          <w:kern w:val="0"/>
          <w:sz w:val="28"/>
          <w:szCs w:val="28"/>
        </w:rPr>
        <w:t>）进行</w:t>
      </w:r>
      <w:r w:rsidRPr="003B3DF4">
        <w:rPr>
          <w:rFonts w:cs="宋体" w:hint="eastAsia"/>
          <w:kern w:val="0"/>
          <w:sz w:val="28"/>
          <w:szCs w:val="28"/>
        </w:rPr>
        <w:t>CQC</w:t>
      </w:r>
      <w:r w:rsidRPr="003B3DF4">
        <w:rPr>
          <w:rFonts w:ascii="宋体" w:hAnsi="宋体" w:cs="宋体" w:hint="eastAsia"/>
          <w:kern w:val="0"/>
          <w:sz w:val="28"/>
          <w:szCs w:val="28"/>
        </w:rPr>
        <w:t>自愿认证，企业可在</w:t>
      </w:r>
      <w:r w:rsidRPr="003B3DF4">
        <w:rPr>
          <w:rFonts w:cs="宋体" w:hint="eastAsia"/>
          <w:kern w:val="0"/>
          <w:sz w:val="28"/>
          <w:szCs w:val="28"/>
        </w:rPr>
        <w:t>2016</w:t>
      </w:r>
      <w:r w:rsidRPr="003B3DF4">
        <w:rPr>
          <w:rFonts w:ascii="宋体" w:hAnsi="宋体" w:cs="宋体" w:hint="eastAsia"/>
          <w:kern w:val="0"/>
          <w:sz w:val="28"/>
          <w:szCs w:val="28"/>
        </w:rPr>
        <w:t>年</w:t>
      </w:r>
      <w:r w:rsidRPr="003B3DF4">
        <w:rPr>
          <w:rFonts w:cs="宋体" w:hint="eastAsia"/>
          <w:kern w:val="0"/>
          <w:sz w:val="28"/>
          <w:szCs w:val="28"/>
        </w:rPr>
        <w:t>1</w:t>
      </w:r>
      <w:r w:rsidRPr="003B3DF4">
        <w:rPr>
          <w:rFonts w:ascii="宋体" w:hAnsi="宋体" w:cs="宋体" w:hint="eastAsia"/>
          <w:kern w:val="0"/>
          <w:sz w:val="28"/>
          <w:szCs w:val="28"/>
        </w:rPr>
        <w:t>月</w:t>
      </w:r>
      <w:r w:rsidRPr="003B3DF4">
        <w:rPr>
          <w:rFonts w:cs="宋体" w:hint="eastAsia"/>
          <w:kern w:val="0"/>
          <w:sz w:val="28"/>
          <w:szCs w:val="28"/>
        </w:rPr>
        <w:t>22</w:t>
      </w:r>
      <w:r w:rsidRPr="003B3DF4">
        <w:rPr>
          <w:rFonts w:ascii="宋体" w:hAnsi="宋体" w:cs="宋体" w:hint="eastAsia"/>
          <w:kern w:val="0"/>
          <w:sz w:val="28"/>
          <w:szCs w:val="28"/>
        </w:rPr>
        <w:t>日之前进行证书转换，如企业不再有认证需求，应在</w:t>
      </w:r>
      <w:r w:rsidRPr="003B3DF4">
        <w:rPr>
          <w:rFonts w:cs="宋体" w:hint="eastAsia"/>
          <w:kern w:val="0"/>
          <w:sz w:val="28"/>
          <w:szCs w:val="28"/>
        </w:rPr>
        <w:t>2016</w:t>
      </w:r>
      <w:r w:rsidRPr="003B3DF4">
        <w:rPr>
          <w:rFonts w:ascii="宋体" w:hAnsi="宋体" w:cs="宋体" w:hint="eastAsia"/>
          <w:kern w:val="0"/>
          <w:sz w:val="28"/>
          <w:szCs w:val="28"/>
        </w:rPr>
        <w:t>年</w:t>
      </w:r>
      <w:r w:rsidRPr="003B3DF4">
        <w:rPr>
          <w:rFonts w:cs="宋体" w:hint="eastAsia"/>
          <w:kern w:val="0"/>
          <w:sz w:val="28"/>
          <w:szCs w:val="28"/>
        </w:rPr>
        <w:t>1</w:t>
      </w:r>
      <w:r w:rsidRPr="003B3DF4">
        <w:rPr>
          <w:rFonts w:ascii="宋体" w:hAnsi="宋体" w:cs="宋体" w:hint="eastAsia"/>
          <w:kern w:val="0"/>
          <w:sz w:val="28"/>
          <w:szCs w:val="28"/>
        </w:rPr>
        <w:t>月</w:t>
      </w:r>
      <w:r w:rsidRPr="003B3DF4">
        <w:rPr>
          <w:rFonts w:cs="宋体" w:hint="eastAsia"/>
          <w:kern w:val="0"/>
          <w:sz w:val="28"/>
          <w:szCs w:val="28"/>
        </w:rPr>
        <w:t>22</w:t>
      </w:r>
      <w:r w:rsidRPr="003B3DF4">
        <w:rPr>
          <w:rFonts w:ascii="宋体" w:hAnsi="宋体" w:cs="宋体" w:hint="eastAsia"/>
          <w:kern w:val="0"/>
          <w:sz w:val="28"/>
          <w:szCs w:val="28"/>
        </w:rPr>
        <w:t>日之前完成证书注销工作。</w:t>
      </w:r>
      <w:r w:rsidRPr="003B3DF4">
        <w:rPr>
          <w:rFonts w:cs="宋体"/>
          <w:kern w:val="0"/>
          <w:sz w:val="28"/>
          <w:szCs w:val="28"/>
        </w:rPr>
        <w:t>具体事宜请与产品认证</w:t>
      </w:r>
      <w:r w:rsidRPr="003B3DF4">
        <w:rPr>
          <w:rFonts w:ascii="宋体" w:hAnsi="宋体" w:cs="宋体" w:hint="eastAsia"/>
          <w:kern w:val="0"/>
          <w:sz w:val="28"/>
          <w:szCs w:val="28"/>
        </w:rPr>
        <w:t>四</w:t>
      </w:r>
      <w:r w:rsidRPr="003B3DF4">
        <w:rPr>
          <w:rFonts w:cs="宋体"/>
          <w:kern w:val="0"/>
          <w:sz w:val="28"/>
          <w:szCs w:val="28"/>
        </w:rPr>
        <w:t>部工程师联系。</w:t>
      </w:r>
    </w:p>
    <w:p w:rsidR="003B3DF4" w:rsidRPr="003B3DF4" w:rsidRDefault="003B3DF4" w:rsidP="003B3DF4">
      <w:pPr>
        <w:widowControl/>
        <w:ind w:firstLine="700"/>
        <w:jc w:val="left"/>
        <w:rPr>
          <w:rFonts w:cs="宋体"/>
          <w:kern w:val="0"/>
          <w:sz w:val="28"/>
          <w:szCs w:val="28"/>
        </w:rPr>
      </w:pPr>
      <w:r w:rsidRPr="003B3DF4">
        <w:rPr>
          <w:rFonts w:cs="宋体"/>
          <w:kern w:val="0"/>
          <w:sz w:val="28"/>
          <w:szCs w:val="28"/>
        </w:rPr>
        <w:t>联系</w:t>
      </w:r>
      <w:r w:rsidRPr="003B3DF4">
        <w:rPr>
          <w:rFonts w:ascii="宋体" w:hAnsi="宋体" w:cs="宋体" w:hint="eastAsia"/>
          <w:kern w:val="0"/>
          <w:sz w:val="28"/>
          <w:szCs w:val="28"/>
        </w:rPr>
        <w:t>方式</w:t>
      </w:r>
      <w:r w:rsidRPr="003B3DF4">
        <w:rPr>
          <w:rFonts w:cs="宋体"/>
          <w:kern w:val="0"/>
          <w:sz w:val="28"/>
          <w:szCs w:val="28"/>
        </w:rPr>
        <w:t>：</w:t>
      </w:r>
      <w:r w:rsidRPr="003B3DF4">
        <w:rPr>
          <w:rFonts w:ascii="宋体" w:hAnsi="宋体" w:cs="宋体" w:hint="eastAsia"/>
          <w:kern w:val="0"/>
          <w:sz w:val="28"/>
          <w:szCs w:val="28"/>
        </w:rPr>
        <w:t>魏  未</w:t>
      </w:r>
      <w:r w:rsidRPr="003B3DF4">
        <w:rPr>
          <w:rFonts w:cs="宋体"/>
          <w:kern w:val="0"/>
          <w:sz w:val="28"/>
          <w:szCs w:val="28"/>
        </w:rPr>
        <w:t>010-83886</w:t>
      </w:r>
      <w:r w:rsidRPr="003B3DF4">
        <w:rPr>
          <w:rFonts w:ascii="宋体" w:hAnsi="宋体" w:cs="宋体" w:hint="eastAsia"/>
          <w:kern w:val="0"/>
          <w:sz w:val="28"/>
          <w:szCs w:val="28"/>
        </w:rPr>
        <w:t>504</w:t>
      </w:r>
    </w:p>
    <w:p w:rsidR="003B3DF4" w:rsidRPr="003B3DF4" w:rsidRDefault="003B3DF4" w:rsidP="003B3DF4">
      <w:pPr>
        <w:widowControl/>
        <w:ind w:firstLine="2100"/>
        <w:jc w:val="left"/>
        <w:rPr>
          <w:rFonts w:cs="宋体"/>
          <w:kern w:val="0"/>
          <w:sz w:val="28"/>
          <w:szCs w:val="28"/>
        </w:rPr>
      </w:pPr>
      <w:r w:rsidRPr="003B3DF4">
        <w:rPr>
          <w:rFonts w:ascii="宋体" w:hAnsi="宋体" w:cs="宋体" w:hint="eastAsia"/>
          <w:kern w:val="0"/>
          <w:sz w:val="28"/>
          <w:szCs w:val="28"/>
        </w:rPr>
        <w:t xml:space="preserve">刘水强 </w:t>
      </w:r>
      <w:r w:rsidRPr="003B3DF4">
        <w:rPr>
          <w:rFonts w:cs="宋体" w:hint="eastAsia"/>
          <w:kern w:val="0"/>
          <w:sz w:val="28"/>
          <w:szCs w:val="28"/>
        </w:rPr>
        <w:t>010</w:t>
      </w:r>
      <w:r w:rsidRPr="003B3DF4">
        <w:rPr>
          <w:rFonts w:ascii="宋体" w:hAnsi="宋体" w:cs="宋体" w:hint="eastAsia"/>
          <w:kern w:val="0"/>
          <w:sz w:val="28"/>
          <w:szCs w:val="28"/>
        </w:rPr>
        <w:t>-83886921</w:t>
      </w:r>
    </w:p>
    <w:p w:rsidR="003B3DF4" w:rsidRDefault="003B3DF4"/>
    <w:p w:rsidR="003B3DF4" w:rsidRDefault="003B3DF4"/>
    <w:sectPr w:rsidR="003B3DF4" w:rsidSect="003B3DF4">
      <w:footerReference w:type="default" r:id="rId11"/>
      <w:pgSz w:w="11907" w:h="16840"/>
      <w:pgMar w:top="1440" w:right="1247" w:bottom="1440"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FF0" w:rsidRDefault="00351FF0">
      <w:r>
        <w:separator/>
      </w:r>
    </w:p>
  </w:endnote>
  <w:endnote w:type="continuationSeparator" w:id="1">
    <w:p w:rsidR="00351FF0" w:rsidRDefault="00351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EA" w:rsidRDefault="007710EA">
    <w:pPr>
      <w:pStyle w:val="a3"/>
      <w:jc w:val="right"/>
    </w:pPr>
  </w:p>
  <w:p w:rsidR="007710EA" w:rsidRDefault="00771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FF0" w:rsidRDefault="00351FF0">
      <w:r>
        <w:separator/>
      </w:r>
    </w:p>
  </w:footnote>
  <w:footnote w:type="continuationSeparator" w:id="1">
    <w:p w:rsidR="00351FF0" w:rsidRDefault="00351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10EA"/>
    <w:rsid w:val="00295C3B"/>
    <w:rsid w:val="00351FF0"/>
    <w:rsid w:val="003B3DF4"/>
    <w:rsid w:val="005C264C"/>
    <w:rsid w:val="006548E6"/>
    <w:rsid w:val="007710EA"/>
    <w:rsid w:val="008609ED"/>
    <w:rsid w:val="00C151FF"/>
    <w:rsid w:val="00CC3790"/>
    <w:rsid w:val="00D1211C"/>
    <w:rsid w:val="00EC5C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64C"/>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264C"/>
    <w:pPr>
      <w:tabs>
        <w:tab w:val="center" w:pos="4153"/>
        <w:tab w:val="right" w:pos="8306"/>
      </w:tabs>
      <w:snapToGrid w:val="0"/>
      <w:jc w:val="left"/>
    </w:pPr>
    <w:rPr>
      <w:sz w:val="18"/>
      <w:szCs w:val="18"/>
    </w:rPr>
  </w:style>
  <w:style w:type="character" w:customStyle="1" w:styleId="Char">
    <w:name w:val="页脚 Char"/>
    <w:basedOn w:val="a0"/>
    <w:link w:val="a3"/>
    <w:semiHidden/>
    <w:rsid w:val="005C264C"/>
    <w:rPr>
      <w:rFonts w:ascii="Calibri" w:eastAsia="宋体" w:hAnsi="Calibri" w:cs="Calibri"/>
      <w:sz w:val="18"/>
      <w:szCs w:val="18"/>
    </w:rPr>
  </w:style>
  <w:style w:type="paragraph" w:styleId="a4">
    <w:name w:val="header"/>
    <w:basedOn w:val="a"/>
    <w:link w:val="Char0"/>
    <w:rsid w:val="005C26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5C264C"/>
    <w:rPr>
      <w:rFonts w:ascii="Calibri" w:eastAsia="宋体" w:hAnsi="Calibri" w:cs="Calibri"/>
      <w:sz w:val="18"/>
      <w:szCs w:val="18"/>
    </w:rPr>
  </w:style>
  <w:style w:type="character" w:styleId="a5">
    <w:name w:val="Strong"/>
    <w:basedOn w:val="a0"/>
    <w:rsid w:val="005C264C"/>
    <w:rPr>
      <w:b/>
      <w:bCs/>
    </w:rPr>
  </w:style>
  <w:style w:type="paragraph" w:customStyle="1" w:styleId="p0">
    <w:name w:val="p0"/>
    <w:basedOn w:val="a"/>
    <w:rsid w:val="005C264C"/>
    <w:pPr>
      <w:widowControl/>
    </w:pPr>
    <w:rPr>
      <w:kern w:val="0"/>
    </w:rPr>
  </w:style>
  <w:style w:type="character" w:styleId="a6">
    <w:name w:val="Hyperlink"/>
    <w:basedOn w:val="a0"/>
    <w:uiPriority w:val="99"/>
    <w:semiHidden/>
    <w:unhideWhenUsed/>
    <w:rsid w:val="003B3DF4"/>
    <w:rPr>
      <w:color w:val="0000FF"/>
      <w:u w:val="single"/>
    </w:rPr>
  </w:style>
  <w:style w:type="paragraph" w:styleId="a7">
    <w:name w:val="Balloon Text"/>
    <w:basedOn w:val="a"/>
    <w:link w:val="Char1"/>
    <w:uiPriority w:val="99"/>
    <w:semiHidden/>
    <w:unhideWhenUsed/>
    <w:rsid w:val="003B3DF4"/>
    <w:rPr>
      <w:sz w:val="18"/>
      <w:szCs w:val="18"/>
    </w:rPr>
  </w:style>
  <w:style w:type="character" w:customStyle="1" w:styleId="Char1">
    <w:name w:val="批注框文本 Char"/>
    <w:basedOn w:val="a0"/>
    <w:link w:val="a7"/>
    <w:uiPriority w:val="99"/>
    <w:semiHidden/>
    <w:rsid w:val="003B3DF4"/>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065157">
      <w:bodyDiv w:val="1"/>
      <w:marLeft w:val="0"/>
      <w:marRight w:val="0"/>
      <w:marTop w:val="0"/>
      <w:marBottom w:val="0"/>
      <w:divBdr>
        <w:top w:val="none" w:sz="0" w:space="0" w:color="auto"/>
        <w:left w:val="none" w:sz="0" w:space="0" w:color="auto"/>
        <w:bottom w:val="none" w:sz="0" w:space="0" w:color="auto"/>
        <w:right w:val="none" w:sz="0" w:space="0" w:color="auto"/>
      </w:divBdr>
    </w:div>
    <w:div w:id="1261986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nca.gov.cn/ywzl/rz/qzxcpzl/jszjz/tc07/201412/P020141222335954390312.pdf"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nca.gov.cn/ywzl/rz/qzxcpzl/jszjz/tc07/201412/P0201412223359543903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creator>lenovo</dc:creator>
  <cp:lastModifiedBy>nina</cp:lastModifiedBy>
  <cp:revision>2</cp:revision>
  <dcterms:created xsi:type="dcterms:W3CDTF">2015-02-10T02:46:00Z</dcterms:created>
  <dcterms:modified xsi:type="dcterms:W3CDTF">2015-02-10T02:46:00Z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